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«История России»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4679" w:type="dxa"/>
          </w:tcPr>
          <w:p/>
        </w:tc>
        <w:tc>
          <w:tcPr>
            <w:tcW w:w="993" w:type="dxa"/>
          </w:tcPr>
          <w:p/>
        </w:tc>
      </w:tr>
      <w:tr>
        <w:trPr>
          <w:trHeight w:hRule="exact" w:val="424.682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4465.5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1452.0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911.1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280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Основные причины успеха советских войск в ходе зимнего контрнаступления.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3025.9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1807.0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1010.4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857.4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8698.7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1092.7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473"/>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3138.7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868.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94.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975.0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2209.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 ветской власти к партийным структурам. Экономическая разруха. Размывание слоя кадровых рабочих. Голод 1921–1922 гг. «Помгол» и его деятельность.</w:t>
            </w:r>
          </w:p>
          <w:p>
            <w:pPr>
              <w:jc w:val="left"/>
              <w:spacing w:after="0" w:line="240" w:lineRule="auto"/>
              <w:rPr>
                <w:sz w:val="24"/>
                <w:szCs w:val="24"/>
              </w:rPr>
            </w:pPr>
            <w:r>
              <w:rPr>
                <w:rFonts w:ascii="Times New Roman" w:hAnsi="Times New Roman" w:cs="Times New Roman"/>
                <w:color w:val="#000000"/>
                <w:sz w:val="24"/>
                <w:szCs w:val="24"/>
              </w:rPr>
              <w:t> Нарастание социальной напряженности. Крестьянские восстания в Сибири, Поволжье и на Тамбовщине. Кронштадтское восстание. 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 Разрешение в мел- кой промышленности частно-коммерческих отношений.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1128.0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Агропромышленный комплекс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373.4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4373.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529.20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66.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8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2024-2025_ФГОС3++2024_Бак-ОФО-ПО(МО)(24)_plx_История России</dc:title>
  <dc:creator>FastReport.NET</dc:creator>
</cp:coreProperties>
</file>